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tblpY="1"/>
        <w:tblOverlap w:val="never"/>
        <w:tblW w:w="9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1843"/>
        <w:gridCol w:w="241"/>
        <w:gridCol w:w="7682"/>
      </w:tblGrid>
      <w:tr w:rsidR="005A4C34" w:rsidRPr="00B90269" w14:paraId="590EE389" w14:textId="77777777" w:rsidTr="7C2DE4C3">
        <w:trPr>
          <w:trHeight w:val="1987"/>
        </w:trPr>
        <w:tc>
          <w:tcPr>
            <w:tcW w:w="1843" w:type="dxa"/>
          </w:tcPr>
          <w:p w14:paraId="3BB0D04B" w14:textId="605F9138" w:rsidR="005A4C34" w:rsidRPr="00B90269" w:rsidRDefault="005A4C34" w:rsidP="00155DBA">
            <w:pPr>
              <w:pStyle w:val="Paragrafobase"/>
              <w:rPr>
                <w:rFonts w:ascii="Arial" w:hAnsi="Arial" w:cs="Arial"/>
                <w:b/>
                <w:bCs/>
                <w:color w:val="286452"/>
                <w:sz w:val="22"/>
                <w:szCs w:val="22"/>
              </w:rPr>
            </w:pPr>
          </w:p>
          <w:p w14:paraId="10A96E39" w14:textId="768713B8" w:rsidR="005A4C34" w:rsidRPr="00B90269" w:rsidRDefault="005A4C34" w:rsidP="00155DBA">
            <w:pPr>
              <w:pStyle w:val="Paragrafobase"/>
              <w:rPr>
                <w:rFonts w:ascii="Arial" w:hAnsi="Arial" w:cs="Arial"/>
                <w:b/>
                <w:bCs/>
                <w:color w:val="286452"/>
                <w:sz w:val="22"/>
                <w:szCs w:val="22"/>
              </w:rPr>
            </w:pPr>
          </w:p>
          <w:p w14:paraId="4EF6342F" w14:textId="2D5D814B" w:rsidR="005A4C34" w:rsidRPr="00B90269" w:rsidRDefault="005A4C34" w:rsidP="00155DBA">
            <w:pPr>
              <w:pStyle w:val="Paragrafobase"/>
              <w:rPr>
                <w:rFonts w:ascii="Arial" w:hAnsi="Arial" w:cs="Arial"/>
                <w:b/>
                <w:bCs/>
                <w:color w:val="286452"/>
                <w:sz w:val="22"/>
                <w:szCs w:val="22"/>
              </w:rPr>
            </w:pPr>
          </w:p>
          <w:p w14:paraId="1F0E9139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0CE5FBAC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6DF49F4B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012326B2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3C902885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016F5674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275460CE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6B128F4F" w14:textId="129B7DBD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4210B230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1590ADA3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6A6203A7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4D331BC6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3CBD494E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44B20F06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7DF74346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11DCDC6D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61010F26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00AEFE93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b/>
                <w:bCs/>
                <w:color w:val="286452"/>
                <w:sz w:val="22"/>
                <w:szCs w:val="22"/>
              </w:rPr>
            </w:pPr>
          </w:p>
        </w:tc>
        <w:tc>
          <w:tcPr>
            <w:tcW w:w="241" w:type="dxa"/>
          </w:tcPr>
          <w:p w14:paraId="4B541298" w14:textId="0A72308F" w:rsidR="005A4C34" w:rsidRPr="00B90269" w:rsidRDefault="00393567" w:rsidP="00155DBA">
            <w:pPr>
              <w:rPr>
                <w:rFonts w:ascii="Arial" w:hAnsi="Arial" w:cs="Arial"/>
                <w:color w:val="286452"/>
                <w:sz w:val="22"/>
                <w:szCs w:val="22"/>
              </w:rPr>
            </w:pPr>
            <w:r w:rsidRPr="00B90269">
              <w:rPr>
                <w:rFonts w:ascii="Arial" w:hAnsi="Arial" w:cs="Arial"/>
                <w:noProof/>
                <w:color w:val="286452"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7F79A41F" wp14:editId="59F3A396">
                  <wp:simplePos x="0" y="0"/>
                  <wp:positionH relativeFrom="column">
                    <wp:posOffset>-1197610</wp:posOffset>
                  </wp:positionH>
                  <wp:positionV relativeFrom="paragraph">
                    <wp:posOffset>426720</wp:posOffset>
                  </wp:positionV>
                  <wp:extent cx="1379220" cy="7492365"/>
                  <wp:effectExtent l="0" t="0" r="0" b="0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220" cy="7492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82" w:type="dxa"/>
          </w:tcPr>
          <w:p w14:paraId="5E2CDD1F" w14:textId="2CE34E88" w:rsidR="0049691D" w:rsidRPr="00B90269" w:rsidRDefault="0049691D" w:rsidP="004969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1FCFED9" w14:textId="77777777" w:rsidR="00C93EF3" w:rsidRDefault="00C93EF3" w:rsidP="00234DD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119574783"/>
          </w:p>
          <w:p w14:paraId="209F1500" w14:textId="6F39626D" w:rsidR="005B0FCD" w:rsidRDefault="00B04D84" w:rsidP="000C57D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4DD0">
              <w:rPr>
                <w:rFonts w:ascii="Arial" w:hAnsi="Arial" w:cs="Arial"/>
                <w:b/>
                <w:bCs/>
                <w:sz w:val="22"/>
                <w:szCs w:val="22"/>
              </w:rPr>
              <w:t>GEE - GLOBAL ELEVATOR EXHIBITION</w:t>
            </w:r>
            <w:r w:rsidR="005B0FC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  <w:r w:rsidR="000A67D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INCONTRI E CONVEGNI PER </w:t>
            </w:r>
            <w:r w:rsidR="005B0FC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RISPONDERE </w:t>
            </w:r>
            <w:r w:rsidR="000A67D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</w:t>
            </w:r>
            <w:r w:rsidR="005B0FC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UN SETTORE IN </w:t>
            </w:r>
            <w:r w:rsidR="006424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CONTINUA </w:t>
            </w:r>
            <w:r w:rsidR="005B0FCD">
              <w:rPr>
                <w:rFonts w:ascii="Arial" w:hAnsi="Arial" w:cs="Arial"/>
                <w:b/>
                <w:bCs/>
                <w:sz w:val="22"/>
                <w:szCs w:val="22"/>
              </w:rPr>
              <w:t>EVOLUZIONE</w:t>
            </w:r>
          </w:p>
          <w:p w14:paraId="7F2CBE3E" w14:textId="77777777" w:rsidR="000A67D6" w:rsidRPr="0E8A56E2" w:rsidRDefault="000A67D6" w:rsidP="005B0FCD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6A95CDF6" w14:textId="7240CADB" w:rsidR="003F073B" w:rsidRPr="00B90269" w:rsidRDefault="005B0FCD" w:rsidP="0E8A56E2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Punto di forza di </w:t>
            </w:r>
            <w:r w:rsidR="7B70B253" w:rsidRPr="0E8A56E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GEE – Global Elevator </w:t>
            </w:r>
            <w:proofErr w:type="spellStart"/>
            <w:r w:rsidR="7B70B253" w:rsidRPr="0E8A56E2">
              <w:rPr>
                <w:rFonts w:ascii="Arial" w:hAnsi="Arial" w:cs="Arial"/>
                <w:i/>
                <w:iCs/>
                <w:sz w:val="22"/>
                <w:szCs w:val="22"/>
              </w:rPr>
              <w:t>Exhibition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>, d</w:t>
            </w:r>
            <w:r w:rsidR="4969124D" w:rsidRPr="0E8A56E2">
              <w:rPr>
                <w:rFonts w:ascii="Arial" w:hAnsi="Arial" w:cs="Arial"/>
                <w:i/>
                <w:iCs/>
                <w:sz w:val="22"/>
                <w:szCs w:val="22"/>
              </w:rPr>
              <w:t>al</w:t>
            </w:r>
            <w:r w:rsidR="7B70B253" w:rsidRPr="0E8A56E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15 al 17 novembre 2023 a </w:t>
            </w:r>
            <w:proofErr w:type="spellStart"/>
            <w:r w:rsidR="7B70B253" w:rsidRPr="0E8A56E2">
              <w:rPr>
                <w:rFonts w:ascii="Arial" w:hAnsi="Arial" w:cs="Arial"/>
                <w:i/>
                <w:iCs/>
                <w:sz w:val="22"/>
                <w:szCs w:val="22"/>
              </w:rPr>
              <w:t>fieramilano</w:t>
            </w:r>
            <w:proofErr w:type="spellEnd"/>
            <w:r w:rsidR="7B70B253" w:rsidRPr="0E8A56E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(Rho)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è il suo ricco palinsesto di convegni: </w:t>
            </w:r>
            <w:r w:rsidRPr="0E8A56E2">
              <w:rPr>
                <w:rFonts w:ascii="Arial" w:hAnsi="Arial" w:cs="Arial"/>
                <w:i/>
                <w:iCs/>
                <w:sz w:val="22"/>
                <w:szCs w:val="22"/>
              </w:rPr>
              <w:t>incontri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verticali e tavole rotonde per dibattere</w:t>
            </w:r>
            <w:r w:rsidR="000A67D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su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trend</w:t>
            </w:r>
            <w:proofErr w:type="gram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>, sfide e opportunità di un settore in crescita</w:t>
            </w:r>
            <w:r w:rsidR="4969124D" w:rsidRPr="0E8A56E2">
              <w:rPr>
                <w:rFonts w:ascii="Arial" w:hAnsi="Arial" w:cs="Arial"/>
                <w:i/>
                <w:iCs/>
                <w:sz w:val="22"/>
                <w:szCs w:val="22"/>
              </w:rPr>
              <w:t>; tutto nella cornice</w:t>
            </w:r>
            <w:r w:rsidR="098B4A6A" w:rsidRPr="0E8A56E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integrata </w:t>
            </w:r>
            <w:r w:rsidR="098B4A6A" w:rsidRPr="0E8A56E2">
              <w:rPr>
                <w:rFonts w:ascii="Arial" w:hAnsi="Arial" w:cs="Arial"/>
                <w:i/>
                <w:iCs/>
                <w:sz w:val="22"/>
                <w:szCs w:val="22"/>
              </w:rPr>
              <w:t>di</w:t>
            </w:r>
            <w:r w:rsidR="4969124D" w:rsidRPr="0E8A56E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MIBA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</w:p>
          <w:p w14:paraId="175FD3A7" w14:textId="77777777" w:rsidR="00B04D84" w:rsidRPr="00B90269" w:rsidRDefault="00B04D84" w:rsidP="00B04D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F28BE8" w14:textId="2966DE51" w:rsidR="005B0FCD" w:rsidRDefault="7B70B253" w:rsidP="005B0FC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7C2DE4C3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 xml:space="preserve">Milano, </w:t>
            </w:r>
            <w:r w:rsidR="0015591F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>15 novembre 2023</w:t>
            </w:r>
            <w:r w:rsidRPr="7C2DE4C3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 xml:space="preserve"> </w:t>
            </w:r>
            <w:r w:rsidR="3E917A95" w:rsidRPr="7C2DE4C3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>–</w:t>
            </w:r>
            <w:r w:rsidR="0015591F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 xml:space="preserve"> </w:t>
            </w:r>
            <w:r w:rsidR="78A2099D" w:rsidRPr="7C2DE4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GEE – Global Elevator </w:t>
            </w:r>
            <w:proofErr w:type="spellStart"/>
            <w:r w:rsidR="78A2099D" w:rsidRPr="7C2DE4C3">
              <w:rPr>
                <w:rFonts w:ascii="Arial" w:hAnsi="Arial" w:cs="Arial"/>
                <w:b/>
                <w:bCs/>
                <w:sz w:val="22"/>
                <w:szCs w:val="22"/>
              </w:rPr>
              <w:t>Exhibition</w:t>
            </w:r>
            <w:proofErr w:type="spellEnd"/>
            <w:r w:rsidR="16BDA640" w:rsidRPr="7C2DE4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5C1BDE99" w:rsidRPr="7C2DE4C3">
              <w:rPr>
                <w:rFonts w:ascii="Arial" w:hAnsi="Arial" w:cs="Arial"/>
                <w:sz w:val="22"/>
                <w:szCs w:val="22"/>
              </w:rPr>
              <w:t xml:space="preserve">il più innovativo hub europeo sulla </w:t>
            </w:r>
            <w:r w:rsidR="16BDA640" w:rsidRPr="7C2DE4C3">
              <w:rPr>
                <w:rFonts w:ascii="Arial" w:hAnsi="Arial" w:cs="Arial"/>
                <w:sz w:val="22"/>
                <w:szCs w:val="22"/>
              </w:rPr>
              <w:t xml:space="preserve">mobilità verticale e orizzontale, </w:t>
            </w:r>
            <w:r w:rsidR="005B0FCD">
              <w:rPr>
                <w:rFonts w:ascii="Arial" w:hAnsi="Arial" w:cs="Arial"/>
                <w:sz w:val="22"/>
                <w:szCs w:val="22"/>
              </w:rPr>
              <w:t>i</w:t>
            </w:r>
            <w:r w:rsidR="06308E62" w:rsidRPr="7C2DE4C3">
              <w:rPr>
                <w:rFonts w:ascii="Arial" w:hAnsi="Arial" w:cs="Arial"/>
                <w:sz w:val="22"/>
                <w:szCs w:val="22"/>
              </w:rPr>
              <w:t xml:space="preserve">n programma </w:t>
            </w:r>
            <w:r w:rsidR="06308E62" w:rsidRPr="7C2DE4C3">
              <w:rPr>
                <w:rFonts w:ascii="Arial" w:hAnsi="Arial" w:cs="Arial"/>
                <w:b/>
                <w:bCs/>
                <w:sz w:val="22"/>
                <w:szCs w:val="22"/>
              </w:rPr>
              <w:t>dal 15 al 17 novembre 2023</w:t>
            </w:r>
            <w:r w:rsidR="06308E62" w:rsidRPr="7C2DE4C3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="06308E62" w:rsidRPr="7C2DE4C3">
              <w:rPr>
                <w:rFonts w:ascii="Arial" w:hAnsi="Arial" w:cs="Arial"/>
                <w:b/>
                <w:bCs/>
                <w:sz w:val="22"/>
                <w:szCs w:val="22"/>
              </w:rPr>
              <w:t>fieramilano</w:t>
            </w:r>
            <w:proofErr w:type="spellEnd"/>
            <w:r w:rsidR="06308E62" w:rsidRPr="7C2DE4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E013E3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="06308E62" w:rsidRPr="7C2DE4C3">
              <w:rPr>
                <w:rFonts w:ascii="Arial" w:hAnsi="Arial" w:cs="Arial"/>
                <w:b/>
                <w:bCs/>
                <w:sz w:val="22"/>
                <w:szCs w:val="22"/>
              </w:rPr>
              <w:t>Rho)</w:t>
            </w:r>
            <w:r w:rsidR="06308E62" w:rsidRPr="7C2DE4C3">
              <w:rPr>
                <w:rFonts w:ascii="Arial" w:hAnsi="Arial" w:cs="Arial"/>
                <w:sz w:val="22"/>
                <w:szCs w:val="22"/>
              </w:rPr>
              <w:t>,</w:t>
            </w:r>
            <w:r w:rsidR="0082548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78A2099D" w:rsidRPr="7C2DE4C3">
              <w:rPr>
                <w:rFonts w:ascii="Arial" w:hAnsi="Arial" w:cs="Arial"/>
                <w:sz w:val="22"/>
                <w:szCs w:val="22"/>
              </w:rPr>
              <w:t xml:space="preserve">si </w:t>
            </w:r>
            <w:r w:rsidR="005B0FCD">
              <w:rPr>
                <w:rFonts w:ascii="Arial" w:hAnsi="Arial" w:cs="Arial"/>
                <w:sz w:val="22"/>
                <w:szCs w:val="22"/>
              </w:rPr>
              <w:t>propone come punto di riferimento di un settore in crescita, rispondendo alla richiesta concreta delle imprese di creare uno spazio di dialogo, business e aggiornamento sulle principali novità del comparto.</w:t>
            </w:r>
          </w:p>
          <w:p w14:paraId="1A8A1AD6" w14:textId="77777777" w:rsidR="005B0FCD" w:rsidRDefault="005B0FCD" w:rsidP="005B0FCD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it-IT"/>
              </w:rPr>
            </w:pPr>
          </w:p>
          <w:p w14:paraId="4C4B8AE2" w14:textId="64FF4ACC" w:rsidR="00A847BB" w:rsidRDefault="005B0FCD" w:rsidP="00A847BB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 xml:space="preserve">Punto di forza di GEE, oltre alla sua ricca offerta espositiva ed un consistente programma di incoming buyer internazionali, è il suo </w:t>
            </w:r>
            <w:r w:rsidRPr="000A67D6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  <w:t>palinsesto formativo</w:t>
            </w:r>
            <w:r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 xml:space="preserve">. </w:t>
            </w:r>
            <w:r w:rsidR="000A67D6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>L’</w:t>
            </w:r>
            <w:r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>agenda</w:t>
            </w:r>
            <w:r w:rsidR="000A67D6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 xml:space="preserve"> di incontri</w:t>
            </w:r>
            <w:r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 xml:space="preserve">, </w:t>
            </w:r>
            <w:r w:rsidR="000A67D6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 xml:space="preserve">che si snoda secondo tre direttrici principali </w:t>
            </w:r>
            <w:r w:rsidR="000A67D6">
              <w:rPr>
                <w:rFonts w:ascii="Arial" w:eastAsia="Calibri" w:hAnsi="Arial" w:cs="Arial"/>
                <w:sz w:val="22"/>
                <w:szCs w:val="22"/>
              </w:rPr>
              <w:t xml:space="preserve">– </w:t>
            </w:r>
            <w:r w:rsidR="000A67D6" w:rsidRPr="005B0FCD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</w:rPr>
              <w:t>innovazione</w:t>
            </w:r>
            <w:r w:rsidR="000A67D6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</w:rPr>
              <w:t xml:space="preserve">, </w:t>
            </w:r>
            <w:r w:rsidR="000A67D6" w:rsidRPr="005B0FCD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</w:rPr>
              <w:t>sostenibilità</w:t>
            </w:r>
            <w:r w:rsidR="000A67D6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</w:rPr>
              <w:t>,</w:t>
            </w:r>
            <w:r w:rsidR="000A67D6" w:rsidRPr="005B0FCD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  <w:r w:rsidR="000A67D6" w:rsidRPr="005B0FCD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</w:rPr>
              <w:t>normative</w:t>
            </w:r>
            <w:r w:rsidR="00CC3118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0A67D6" w:rsidRPr="00CC3118">
              <w:rPr>
                <w:rFonts w:ascii="Arial" w:eastAsia="Calibri" w:hAnsi="Arial" w:cs="Arial"/>
                <w:sz w:val="22"/>
                <w:szCs w:val="22"/>
              </w:rPr>
              <w:t>-</w:t>
            </w:r>
            <w:r w:rsidR="000A67D6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 xml:space="preserve"> coinvolge</w:t>
            </w:r>
            <w:r w:rsidRPr="005B0FCD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  <w:r w:rsidRPr="005B0FCD">
              <w:rPr>
                <w:rFonts w:ascii="Arial" w:eastAsia="Calibri" w:hAnsi="Arial" w:cs="Arial"/>
                <w:sz w:val="22"/>
                <w:szCs w:val="22"/>
              </w:rPr>
              <w:t>massimi esperti nazionali e internazionali, esponenti delle principali associazioni di categoria, organi di certificazione e docenti universitari</w:t>
            </w:r>
            <w:r w:rsidR="00820AE7">
              <w:rPr>
                <w:rFonts w:ascii="Arial" w:eastAsia="Calibri" w:hAnsi="Arial" w:cs="Arial"/>
                <w:sz w:val="22"/>
                <w:szCs w:val="22"/>
              </w:rPr>
              <w:t>.</w:t>
            </w:r>
            <w:r w:rsidR="000A67D6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14:paraId="155727E4" w14:textId="77777777" w:rsidR="00A847BB" w:rsidRDefault="00A847BB" w:rsidP="000A67D6">
            <w:pPr>
              <w:jc w:val="both"/>
              <w:rPr>
                <w:rStyle w:val="normaltextrun"/>
                <w:rFonts w:ascii="Arial" w:hAnsi="Arial" w:cs="Arial"/>
                <w:color w:val="0A0A0A"/>
                <w:sz w:val="22"/>
                <w:szCs w:val="22"/>
              </w:rPr>
            </w:pPr>
          </w:p>
          <w:p w14:paraId="5131BD10" w14:textId="12FD2A94" w:rsidR="00393567" w:rsidRDefault="00A847BB" w:rsidP="000A67D6">
            <w:pPr>
              <w:jc w:val="both"/>
              <w:rPr>
                <w:rStyle w:val="normaltextrun"/>
                <w:rFonts w:ascii="Arial" w:hAnsi="Arial" w:cs="Arial"/>
                <w:color w:val="0A0A0A"/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color w:val="0A0A0A"/>
                <w:sz w:val="22"/>
                <w:szCs w:val="22"/>
              </w:rPr>
              <w:t>P</w:t>
            </w:r>
            <w:r w:rsidR="00393567" w:rsidRPr="7C2DE4C3">
              <w:rPr>
                <w:rStyle w:val="normaltextrun"/>
                <w:rFonts w:ascii="Arial" w:hAnsi="Arial" w:cs="Arial"/>
                <w:color w:val="0A0A0A"/>
                <w:sz w:val="22"/>
                <w:szCs w:val="22"/>
              </w:rPr>
              <w:t xml:space="preserve">er una visione </w:t>
            </w:r>
            <w:r w:rsidR="000A67D6">
              <w:rPr>
                <w:rStyle w:val="normaltextrun"/>
                <w:rFonts w:ascii="Arial" w:hAnsi="Arial" w:cs="Arial"/>
                <w:color w:val="0A0A0A"/>
                <w:sz w:val="22"/>
                <w:szCs w:val="22"/>
              </w:rPr>
              <w:t>p</w:t>
            </w:r>
            <w:r w:rsidR="000A67D6">
              <w:rPr>
                <w:rStyle w:val="normaltextrun"/>
                <w:color w:val="0A0A0A"/>
              </w:rPr>
              <w:t xml:space="preserve">iù </w:t>
            </w:r>
            <w:r w:rsidR="00393567" w:rsidRPr="7C2DE4C3">
              <w:rPr>
                <w:rStyle w:val="normaltextrun"/>
                <w:rFonts w:ascii="Arial" w:hAnsi="Arial" w:cs="Arial"/>
                <w:color w:val="0A0A0A"/>
                <w:sz w:val="22"/>
                <w:szCs w:val="22"/>
              </w:rPr>
              <w:t>completa ed integrata, gli appuntamenti di GEE si inseriscono all’interno del palinsesto convegnistico delle fiere di MIBA, per raccontare in modo sinergico l’evoluzione degli edifici a 360 gradi</w:t>
            </w:r>
            <w:r w:rsidR="000A67D6">
              <w:rPr>
                <w:rStyle w:val="normaltextrun"/>
                <w:rFonts w:ascii="Arial" w:hAnsi="Arial" w:cs="Arial"/>
                <w:color w:val="0A0A0A"/>
                <w:sz w:val="22"/>
                <w:szCs w:val="22"/>
              </w:rPr>
              <w:t>.</w:t>
            </w:r>
          </w:p>
          <w:p w14:paraId="3BE5CDCA" w14:textId="77777777" w:rsidR="000A67D6" w:rsidRDefault="000A67D6" w:rsidP="000A67D6">
            <w:pPr>
              <w:jc w:val="both"/>
              <w:rPr>
                <w:rStyle w:val="normaltextrun"/>
                <w:color w:val="0A0A0A"/>
              </w:rPr>
            </w:pPr>
          </w:p>
          <w:p w14:paraId="3F293841" w14:textId="4E6DBD78" w:rsidR="000A67D6" w:rsidRPr="00A847BB" w:rsidRDefault="000A67D6" w:rsidP="000A67D6">
            <w:pPr>
              <w:jc w:val="both"/>
              <w:rPr>
                <w:rStyle w:val="normaltextrun"/>
                <w:rFonts w:ascii="Arial" w:hAnsi="Arial" w:cs="Arial"/>
                <w:b/>
                <w:bCs/>
                <w:color w:val="0A0A0A"/>
                <w:sz w:val="20"/>
                <w:szCs w:val="20"/>
              </w:rPr>
            </w:pPr>
            <w:r w:rsidRPr="00A847BB">
              <w:rPr>
                <w:rStyle w:val="normaltextrun"/>
                <w:rFonts w:ascii="Arial" w:hAnsi="Arial" w:cs="Arial"/>
                <w:b/>
                <w:bCs/>
                <w:color w:val="0A0A0A"/>
                <w:sz w:val="22"/>
                <w:szCs w:val="22"/>
              </w:rPr>
              <w:t>MERCATO IN CRESCITA: TRE GIORNI DI</w:t>
            </w:r>
            <w:r w:rsidR="00A847BB">
              <w:rPr>
                <w:rStyle w:val="normaltextrun"/>
                <w:rFonts w:ascii="Arial" w:hAnsi="Arial" w:cs="Arial"/>
                <w:b/>
                <w:bCs/>
                <w:color w:val="0A0A0A"/>
                <w:sz w:val="22"/>
                <w:szCs w:val="22"/>
              </w:rPr>
              <w:t xml:space="preserve"> INCONTRI</w:t>
            </w:r>
          </w:p>
          <w:p w14:paraId="0E14B0AD" w14:textId="77777777" w:rsidR="000A67D6" w:rsidRDefault="000A67D6" w:rsidP="000A67D6">
            <w:pPr>
              <w:jc w:val="both"/>
              <w:rPr>
                <w:rStyle w:val="normaltextrun"/>
                <w:color w:val="0A0A0A"/>
              </w:rPr>
            </w:pPr>
          </w:p>
          <w:p w14:paraId="41CE7F3A" w14:textId="77777777" w:rsidR="005B0FCD" w:rsidRPr="005B0FCD" w:rsidRDefault="005B0FCD" w:rsidP="005B0FC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5B0FCD">
              <w:rPr>
                <w:rFonts w:ascii="Arial" w:eastAsia="Calibri" w:hAnsi="Arial" w:cs="Arial"/>
                <w:sz w:val="22"/>
                <w:szCs w:val="22"/>
              </w:rPr>
              <w:t xml:space="preserve">Ad aprire la tre giorni dedicata alla mobilità verticale e orizzontale </w:t>
            </w:r>
            <w:r w:rsidRPr="005B0FCD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Market Trends: Il futuro del trasporto verticale 2023-2033: Quali sono le prospettive di sviluppo?</w:t>
            </w:r>
            <w:r w:rsidRPr="005B0FCD">
              <w:rPr>
                <w:rFonts w:ascii="Arial" w:eastAsia="Calibri" w:hAnsi="Arial" w:cs="Arial"/>
                <w:sz w:val="22"/>
                <w:szCs w:val="22"/>
              </w:rPr>
              <w:t xml:space="preserve">  Un incontro di dibattito sulle sfide e le opportunità che l'attuale contesto di mercato offre alle imprese che operano nel segmento degli ascensori che vedrà la partecipazione delle principali associazioni di categoria italiane ed europee ANACAM, ANIE </w:t>
            </w:r>
            <w:proofErr w:type="spellStart"/>
            <w:r w:rsidRPr="005B0FCD">
              <w:rPr>
                <w:rFonts w:ascii="Arial" w:eastAsia="Calibri" w:hAnsi="Arial" w:cs="Arial"/>
                <w:sz w:val="22"/>
                <w:szCs w:val="22"/>
              </w:rPr>
              <w:t>AssoAscensori</w:t>
            </w:r>
            <w:proofErr w:type="spellEnd"/>
            <w:r w:rsidRPr="005B0FCD">
              <w:rPr>
                <w:rFonts w:ascii="Arial" w:eastAsia="Calibri" w:hAnsi="Arial" w:cs="Arial"/>
                <w:sz w:val="22"/>
                <w:szCs w:val="22"/>
              </w:rPr>
              <w:t>, ANICA ed EFESME.</w:t>
            </w:r>
          </w:p>
          <w:p w14:paraId="29F3A572" w14:textId="77777777" w:rsidR="005B0FCD" w:rsidRPr="005B0FCD" w:rsidRDefault="005B0FCD" w:rsidP="005B0FC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031EC3EF" w14:textId="77777777" w:rsidR="005B0FCD" w:rsidRPr="005B0FCD" w:rsidRDefault="005B0FCD" w:rsidP="005B0FC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5B0FCD">
              <w:rPr>
                <w:rFonts w:ascii="Arial" w:eastAsia="Calibri" w:hAnsi="Arial" w:cs="Arial"/>
                <w:sz w:val="22"/>
                <w:szCs w:val="22"/>
              </w:rPr>
              <w:t xml:space="preserve">A seguire si terrà il primo appuntamento sulle </w:t>
            </w:r>
            <w:r w:rsidRPr="005B0FCD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Normative</w:t>
            </w:r>
            <w:r w:rsidRPr="005B0FCD">
              <w:rPr>
                <w:rFonts w:ascii="Arial" w:eastAsia="Calibri" w:hAnsi="Arial" w:cs="Arial"/>
                <w:sz w:val="22"/>
                <w:szCs w:val="22"/>
              </w:rPr>
              <w:t xml:space="preserve"> con </w:t>
            </w:r>
            <w:r w:rsidRPr="005B0FCD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L’impatto del quadro regolatorio europeo ed italiano sulla filiera, le novità normative e gli standard qualitativi tra innovazione, sicurezza e sostenibilità. </w:t>
            </w:r>
            <w:r w:rsidRPr="005B0FCD">
              <w:rPr>
                <w:rFonts w:ascii="Arial" w:eastAsia="Calibri" w:hAnsi="Arial" w:cs="Arial"/>
                <w:sz w:val="22"/>
                <w:szCs w:val="22"/>
              </w:rPr>
              <w:t xml:space="preserve"> Durante il talk, sarà fornito un aggiornamento dettagliato sulle normative che influiscono sul settore e sulle relative opportunità per lo sviluppo delle aziende e la creazione di nuove prospettive, con un'attenzione particolare all'innovazione tecnologica, alla sicurezza e alla sostenibilità. </w:t>
            </w:r>
          </w:p>
          <w:p w14:paraId="4E4F602B" w14:textId="77777777" w:rsidR="005B0FCD" w:rsidRPr="005B0FCD" w:rsidRDefault="005B0FCD" w:rsidP="005B0FCD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</w:rPr>
            </w:pPr>
            <w:r w:rsidRPr="005B0FCD">
              <w:rPr>
                <w:rFonts w:ascii="Arial" w:eastAsia="Calibri" w:hAnsi="Arial" w:cs="Arial"/>
                <w:color w:val="000000"/>
                <w:sz w:val="22"/>
                <w:szCs w:val="22"/>
              </w:rPr>
              <w:lastRenderedPageBreak/>
              <w:t xml:space="preserve">Si tornerà a parlare di </w:t>
            </w:r>
            <w:r w:rsidRPr="005B0FCD"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  <w:t>Normative</w:t>
            </w:r>
            <w:r w:rsidRPr="005B0FCD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con</w:t>
            </w:r>
            <w:r w:rsidRPr="005B0FCD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 xml:space="preserve"> </w:t>
            </w:r>
            <w:r w:rsidRPr="005B0FCD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</w:rPr>
              <w:t xml:space="preserve">La certificazione e i nuovi standard qualitativi come garanzia di sicurezza ed efficienza.  La qualità e la conformità. </w:t>
            </w:r>
          </w:p>
          <w:p w14:paraId="5629423D" w14:textId="77777777" w:rsidR="005B0FCD" w:rsidRPr="005B0FCD" w:rsidRDefault="005B0FCD" w:rsidP="005B0FC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5B0FCD">
              <w:rPr>
                <w:rFonts w:ascii="Arial" w:eastAsia="Calibri" w:hAnsi="Arial" w:cs="Arial"/>
                <w:sz w:val="22"/>
                <w:szCs w:val="22"/>
              </w:rPr>
              <w:t>Le associazioni e gli enti di riferimento approfondiranno la questione cruciale della sicurezza degli impianti di ascensori e sollevamento. Sarà dato particolare risalto all'importanza dei riferimenti normativi e al fondamentale ruolo svolto dagli Organismi di Certificazione e di Ispezione accreditati nell'assicurare standard di sicurezza elevati e conformi alle normative vigenti.</w:t>
            </w:r>
          </w:p>
          <w:p w14:paraId="07DF0F3B" w14:textId="77777777" w:rsidR="005B0FCD" w:rsidRPr="005B0FCD" w:rsidRDefault="005B0FCD" w:rsidP="005B0FC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13580195" w14:textId="77777777" w:rsidR="005B0FCD" w:rsidRPr="005B0FCD" w:rsidRDefault="005B0FCD" w:rsidP="005B0FC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5B0FCD">
              <w:rPr>
                <w:rFonts w:ascii="Arial" w:eastAsia="Calibri" w:hAnsi="Arial" w:cs="Arial"/>
                <w:sz w:val="22"/>
                <w:szCs w:val="22"/>
              </w:rPr>
              <w:t xml:space="preserve">Focus su </w:t>
            </w:r>
            <w:r w:rsidRPr="005B0FCD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Sostenibilità</w:t>
            </w:r>
            <w:r w:rsidRPr="005B0FCD">
              <w:rPr>
                <w:rFonts w:ascii="Arial" w:eastAsia="Calibri" w:hAnsi="Arial" w:cs="Arial"/>
                <w:sz w:val="22"/>
                <w:szCs w:val="22"/>
              </w:rPr>
              <w:t xml:space="preserve"> con </w:t>
            </w:r>
            <w:r w:rsidRPr="005B0FCD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Accessibilità e inclusività: ripensare i luoghi e gli edifici </w:t>
            </w:r>
            <w:r w:rsidRPr="005B0FCD">
              <w:rPr>
                <w:rFonts w:ascii="Arial" w:eastAsia="Calibri" w:hAnsi="Arial" w:cs="Arial"/>
                <w:sz w:val="22"/>
                <w:szCs w:val="22"/>
              </w:rPr>
              <w:t xml:space="preserve">in collaborazione con ANACAM. </w:t>
            </w:r>
            <w:r w:rsidRPr="005B0FCD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  <w:r w:rsidRPr="005B0FCD">
              <w:rPr>
                <w:rFonts w:ascii="Arial" w:eastAsia="Calibri" w:hAnsi="Arial" w:cs="Arial"/>
                <w:sz w:val="22"/>
                <w:szCs w:val="22"/>
              </w:rPr>
              <w:t xml:space="preserve"> Il contributo del trasporto verticale e orizzontale in un'ottica di usabilità è di fondamentale importanza. La sinergia tra questi due aspetti è essenziale per assicurare che le persone si spostino in modo efficiente all'interno degli edifici. L'usabilità dei sistemi di trasporto verticale riguarda la velocità, l'affidabilità e la sicurezza degli ascensori, oltre alla loro capacità di adattarsi alle esigenze delle persone, come l'accessibilità per disabili e anziani.</w:t>
            </w:r>
          </w:p>
          <w:p w14:paraId="32417EFB" w14:textId="77777777" w:rsidR="005B0FCD" w:rsidRPr="005B0FCD" w:rsidRDefault="005B0FCD" w:rsidP="00972E3B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5B0FCD">
              <w:rPr>
                <w:rFonts w:ascii="Arial" w:eastAsia="Calibri" w:hAnsi="Arial" w:cs="Arial"/>
                <w:sz w:val="22"/>
                <w:szCs w:val="22"/>
              </w:rPr>
              <w:t xml:space="preserve">La </w:t>
            </w:r>
            <w:r w:rsidRPr="005B0FCD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Sostenibilità</w:t>
            </w:r>
            <w:r w:rsidRPr="005B0FCD">
              <w:rPr>
                <w:rFonts w:ascii="Arial" w:eastAsia="Calibri" w:hAnsi="Arial" w:cs="Arial"/>
                <w:sz w:val="22"/>
                <w:szCs w:val="22"/>
              </w:rPr>
              <w:t xml:space="preserve"> torna protagonista durante l’incontro </w:t>
            </w:r>
            <w:r w:rsidRPr="005B0FCD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Quali sono le opportunità offerte dai programmi legati al PNRR e i nuovi incentivi per l’efficienza energetica degli edifici e per il superamento delle barriere architettoniche: le criticità e le opportunità di crescita del comparto. </w:t>
            </w:r>
            <w:r w:rsidRPr="005B0FCD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 xml:space="preserve"> Nella </w:t>
            </w:r>
            <w:proofErr w:type="spellStart"/>
            <w:r w:rsidRPr="005B0FCD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roundtable</w:t>
            </w:r>
            <w:proofErr w:type="spellEnd"/>
            <w:r w:rsidRPr="005B0FCD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 xml:space="preserve"> verranno presentate tutte le opportunità e i nuovi incentivi disponibili per la modernizzazione del parco </w:t>
            </w:r>
            <w:proofErr w:type="spellStart"/>
            <w:r w:rsidRPr="005B0FCD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ascensoristico</w:t>
            </w:r>
            <w:proofErr w:type="spellEnd"/>
            <w:r w:rsidRPr="005B0FCD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 xml:space="preserve"> installato, sia per migliorare la sicurezza degli impianti e la loro accessibilità, abbattendo le barriere architettoniche, sia per favorire una riduzione dei consumi energetici e favorire la digitalizzazione degli edifici.</w:t>
            </w:r>
          </w:p>
          <w:p w14:paraId="15B13276" w14:textId="77777777" w:rsidR="005B0FCD" w:rsidRPr="005B0FCD" w:rsidRDefault="005B0FCD" w:rsidP="00972E3B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49E99316" w14:textId="77777777" w:rsidR="005B0FCD" w:rsidRPr="005B0FCD" w:rsidRDefault="005B0FCD" w:rsidP="005B0FC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5B0FCD">
              <w:rPr>
                <w:rFonts w:ascii="Arial" w:eastAsia="Calibri" w:hAnsi="Arial" w:cs="Arial"/>
                <w:sz w:val="22"/>
                <w:szCs w:val="22"/>
              </w:rPr>
              <w:t xml:space="preserve">Di </w:t>
            </w:r>
            <w:r w:rsidRPr="005B0FCD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Innovazione</w:t>
            </w:r>
            <w:r w:rsidRPr="005B0FCD">
              <w:rPr>
                <w:rFonts w:ascii="Arial" w:eastAsia="Calibri" w:hAnsi="Arial" w:cs="Arial"/>
                <w:sz w:val="22"/>
                <w:szCs w:val="22"/>
              </w:rPr>
              <w:t xml:space="preserve"> se ne parlerà con i relatori di</w:t>
            </w:r>
            <w:r w:rsidRPr="005B0FCD">
              <w:rPr>
                <w:rFonts w:ascii="Arial" w:eastAsia="Calibri" w:hAnsi="Arial" w:cs="Arial"/>
                <w:color w:val="212529"/>
                <w:sz w:val="22"/>
                <w:szCs w:val="22"/>
                <w:shd w:val="clear" w:color="auto" w:fill="FFFFFF"/>
              </w:rPr>
              <w:t xml:space="preserve"> </w:t>
            </w:r>
            <w:r w:rsidRPr="005B0FCD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The global elevator: esperienze dal mondo a confronto</w:t>
            </w:r>
            <w:r w:rsidRPr="005B0FCD">
              <w:rPr>
                <w:rFonts w:ascii="Arial" w:eastAsia="Calibri" w:hAnsi="Arial" w:cs="Arial"/>
                <w:sz w:val="22"/>
                <w:szCs w:val="22"/>
              </w:rPr>
              <w:t xml:space="preserve"> dove saranno illustrati i progetti più significativi a livello internazionale nel settore </w:t>
            </w:r>
            <w:proofErr w:type="spellStart"/>
            <w:r w:rsidRPr="005B0FCD">
              <w:rPr>
                <w:rFonts w:ascii="Arial" w:eastAsia="Calibri" w:hAnsi="Arial" w:cs="Arial"/>
                <w:sz w:val="22"/>
                <w:szCs w:val="22"/>
              </w:rPr>
              <w:t>ascensoristico</w:t>
            </w:r>
            <w:proofErr w:type="spellEnd"/>
            <w:r w:rsidRPr="005B0FCD">
              <w:rPr>
                <w:rFonts w:ascii="Arial" w:eastAsia="Calibri" w:hAnsi="Arial" w:cs="Arial"/>
                <w:sz w:val="22"/>
                <w:szCs w:val="22"/>
              </w:rPr>
              <w:t xml:space="preserve">, caratterizzati da soluzioni di ingegneria e architettura all'avanguardia. Queste realizzazioni rappresentano punti di riferimento nel progresso e nell'innovazione dell'industria </w:t>
            </w:r>
            <w:proofErr w:type="spellStart"/>
            <w:r w:rsidRPr="005B0FCD">
              <w:rPr>
                <w:rFonts w:ascii="Arial" w:eastAsia="Calibri" w:hAnsi="Arial" w:cs="Arial"/>
                <w:sz w:val="22"/>
                <w:szCs w:val="22"/>
              </w:rPr>
              <w:t>ascensoristica</w:t>
            </w:r>
            <w:proofErr w:type="spellEnd"/>
            <w:r w:rsidRPr="005B0FCD">
              <w:rPr>
                <w:rFonts w:ascii="Arial" w:eastAsia="Calibri" w:hAnsi="Arial" w:cs="Arial"/>
                <w:sz w:val="22"/>
                <w:szCs w:val="22"/>
              </w:rPr>
              <w:t xml:space="preserve"> a livello globale</w:t>
            </w:r>
          </w:p>
          <w:p w14:paraId="20BC9201" w14:textId="77777777" w:rsidR="005B0FCD" w:rsidRPr="005B0FCD" w:rsidRDefault="005B0FCD" w:rsidP="005B0FCD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5B0FCD">
              <w:rPr>
                <w:rFonts w:ascii="Arial" w:eastAsia="Calibri" w:hAnsi="Arial" w:cs="Arial"/>
                <w:sz w:val="22"/>
                <w:szCs w:val="22"/>
              </w:rPr>
              <w:t xml:space="preserve">Restando in tema di </w:t>
            </w:r>
            <w:r w:rsidRPr="005B0FCD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Innovazione</w:t>
            </w:r>
            <w:r w:rsidRPr="005B0FCD">
              <w:rPr>
                <w:rFonts w:ascii="Arial" w:eastAsia="Calibri" w:hAnsi="Arial" w:cs="Arial"/>
                <w:sz w:val="22"/>
                <w:szCs w:val="22"/>
              </w:rPr>
              <w:t xml:space="preserve">, ANIE </w:t>
            </w:r>
            <w:proofErr w:type="spellStart"/>
            <w:r w:rsidRPr="005B0FCD">
              <w:rPr>
                <w:rFonts w:ascii="Arial" w:eastAsia="Calibri" w:hAnsi="Arial" w:cs="Arial"/>
                <w:sz w:val="22"/>
                <w:szCs w:val="22"/>
              </w:rPr>
              <w:t>AssoAscensori</w:t>
            </w:r>
            <w:proofErr w:type="spellEnd"/>
            <w:r w:rsidRPr="005B0FCD">
              <w:rPr>
                <w:rFonts w:ascii="Arial" w:eastAsia="Calibri" w:hAnsi="Arial" w:cs="Arial"/>
                <w:sz w:val="22"/>
                <w:szCs w:val="22"/>
              </w:rPr>
              <w:t xml:space="preserve"> propone </w:t>
            </w:r>
            <w:r w:rsidRPr="005B0FCD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La digitalizzazione degli ascensori: un percorso di innovazione e sostenibilità. </w:t>
            </w:r>
            <w:r w:rsidRPr="005B0FCD">
              <w:rPr>
                <w:rFonts w:ascii="Arial" w:eastAsia="Calibri" w:hAnsi="Arial" w:cs="Arial"/>
                <w:sz w:val="22"/>
                <w:szCs w:val="22"/>
              </w:rPr>
              <w:t xml:space="preserve">Digitalizzazione e sostenibilità sono gli elementi trainanti della radicale trasformazione in atto su scala globale: una trasformazione che coinvolge la società in sfide ambiziose. In questa fase di profondo cambiamento anche le città si modificano e l’ascensore diventa sempre più digitale, sfruttando il potenziale della connettività, dell’IoT, dell’Intelligenza Artificiale e delle “app”, per offrire soluzioni e servizi personalizzati, migliorare la qualità del servizio e ridurre l'impatto ambientale. </w:t>
            </w:r>
          </w:p>
          <w:p w14:paraId="7D39F020" w14:textId="77777777" w:rsidR="005B0FCD" w:rsidRPr="005B0FCD" w:rsidRDefault="005B0FCD" w:rsidP="005B0FCD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5B0FCD">
              <w:rPr>
                <w:rFonts w:ascii="Arial" w:eastAsia="Calibri" w:hAnsi="Arial" w:cs="Arial"/>
                <w:sz w:val="22"/>
                <w:szCs w:val="22"/>
              </w:rPr>
              <w:t xml:space="preserve">Si parlerà ancora di </w:t>
            </w:r>
            <w:r w:rsidRPr="005B0FCD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Innovazione</w:t>
            </w:r>
            <w:r w:rsidRPr="005B0FCD">
              <w:rPr>
                <w:rFonts w:ascii="Arial" w:eastAsia="Calibri" w:hAnsi="Arial" w:cs="Arial"/>
                <w:sz w:val="22"/>
                <w:szCs w:val="22"/>
              </w:rPr>
              <w:t xml:space="preserve"> e degli aspetti più smart del settore con </w:t>
            </w:r>
            <w:r w:rsidRPr="005B0FCD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Nuove tecnologie per realizzare edifici 4.0 più inclusivi, sicuri, digitali e sostenibili: Quali sono le soluzioni e gli scenari futuri di evoluzione nel campo della sensoristica integrata e della digitalizzazione dei sistemi?</w:t>
            </w:r>
          </w:p>
          <w:p w14:paraId="32BDEB92" w14:textId="77777777" w:rsidR="005B0FCD" w:rsidRPr="005B0FCD" w:rsidRDefault="005B0FCD" w:rsidP="005B0FCD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5B0FCD">
              <w:rPr>
                <w:rFonts w:ascii="Arial" w:eastAsia="Calibri" w:hAnsi="Arial" w:cs="Arial"/>
                <w:color w:val="000000"/>
                <w:sz w:val="22"/>
                <w:szCs w:val="22"/>
              </w:rPr>
              <w:lastRenderedPageBreak/>
              <w:t xml:space="preserve">Grazie alle opportunità offerte dalle nuove tecnologie che vanno dalla progettazione integrata alla digitalizzazione, fino alla manutenzione predittiva degli impianti con dispositivi IoT questo mercato è in continua espansione e sta avendo un ruolo centrale nella innovazione degli edifici e dei centri urbani che diventano così più accessibili, trasformandosi in nuclei intelligenti, funzionali e sostenibili. </w:t>
            </w:r>
          </w:p>
          <w:p w14:paraId="3B0301E7" w14:textId="4FA34EEE" w:rsidR="005B0FCD" w:rsidRPr="005B0FCD" w:rsidRDefault="005B0FCD" w:rsidP="005B0FCD">
            <w:pPr>
              <w:jc w:val="both"/>
              <w:rPr>
                <w:rFonts w:ascii="Arial" w:eastAsia="Calibri" w:hAnsi="Arial" w:cs="Arial"/>
                <w:i/>
                <w:iCs/>
                <w:sz w:val="22"/>
                <w:szCs w:val="22"/>
              </w:rPr>
            </w:pPr>
            <w:r w:rsidRPr="005B0FCD">
              <w:rPr>
                <w:rFonts w:ascii="Arial" w:eastAsia="Calibri" w:hAnsi="Arial" w:cs="Arial"/>
                <w:sz w:val="22"/>
                <w:szCs w:val="22"/>
              </w:rPr>
              <w:t>Con la società di consulenza strategica Roland Berger e l’incontro</w:t>
            </w:r>
            <w:r w:rsidRPr="005B0FCD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Prospettive globali sul mercato degli ascensori: sfide e opportunità future </w:t>
            </w:r>
            <w:r w:rsidRPr="005B0FCD">
              <w:rPr>
                <w:rFonts w:ascii="Arial" w:eastAsia="Calibri" w:hAnsi="Arial" w:cs="Arial"/>
                <w:sz w:val="22"/>
                <w:szCs w:val="22"/>
              </w:rPr>
              <w:t xml:space="preserve">si guarderà al futuro e ai principali player che dovranno affrontare nuove sfide. In questa presentazione si illustreranno le prospettive sul mercato globale degli ascensori, esaminando le priorità regionali, </w:t>
            </w:r>
            <w:proofErr w:type="gramStart"/>
            <w:r w:rsidRPr="005B0FCD">
              <w:rPr>
                <w:rFonts w:ascii="Arial" w:eastAsia="Calibri" w:hAnsi="Arial" w:cs="Arial"/>
                <w:sz w:val="22"/>
                <w:szCs w:val="22"/>
              </w:rPr>
              <w:t>i principali trend</w:t>
            </w:r>
            <w:proofErr w:type="gramEnd"/>
            <w:r w:rsidRPr="005B0FCD">
              <w:rPr>
                <w:rFonts w:ascii="Arial" w:eastAsia="Calibri" w:hAnsi="Arial" w:cs="Arial"/>
                <w:sz w:val="22"/>
                <w:szCs w:val="22"/>
              </w:rPr>
              <w:t xml:space="preserve"> di mercato e le aree di investimento dei principali player</w:t>
            </w:r>
            <w:r w:rsidRPr="005B0FCD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 xml:space="preserve">. </w:t>
            </w:r>
          </w:p>
          <w:p w14:paraId="7D6CC7CA" w14:textId="77777777" w:rsidR="005B0FCD" w:rsidRPr="005B0FCD" w:rsidRDefault="005B0FCD" w:rsidP="005B0FCD">
            <w:pPr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51399E85" w14:textId="2906074F" w:rsidR="005B0FCD" w:rsidRDefault="005B0FCD" w:rsidP="005B0FC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5B0FCD">
              <w:rPr>
                <w:rFonts w:ascii="Arial" w:eastAsia="Calibri" w:hAnsi="Arial" w:cs="Arial"/>
                <w:sz w:val="22"/>
                <w:szCs w:val="22"/>
              </w:rPr>
              <w:t>GEE</w:t>
            </w:r>
            <w:r w:rsidR="00A847BB" w:rsidRPr="00A847BB">
              <w:rPr>
                <w:rFonts w:ascii="Arial" w:eastAsia="Calibri" w:hAnsi="Arial" w:cs="Arial"/>
                <w:sz w:val="22"/>
                <w:szCs w:val="22"/>
              </w:rPr>
              <w:t>, alla sua prima edizione, è già un’</w:t>
            </w:r>
            <w:r w:rsidRPr="005B0FCD">
              <w:rPr>
                <w:rFonts w:ascii="Arial" w:eastAsia="Calibri" w:hAnsi="Arial" w:cs="Arial"/>
                <w:sz w:val="22"/>
                <w:szCs w:val="22"/>
              </w:rPr>
              <w:t>opportunità unica di confronto per aziende e operatori italiani e internazionali: un’occasione importante per scoprire il meglio delle tecnologie, dei materiali e delle soluzioni destinate al settore.</w:t>
            </w:r>
          </w:p>
          <w:p w14:paraId="6143D017" w14:textId="77777777" w:rsidR="006D6D81" w:rsidRDefault="006D6D81" w:rsidP="005B0FC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75B60BEE" w14:textId="491C019B" w:rsidR="006D6D81" w:rsidRPr="005B0FCD" w:rsidRDefault="006D6D81" w:rsidP="005B0FC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GEE, Global Elevator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Exhibition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fa parte di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MIBA, Milan International Building Alliance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l’evento che riunirà quattro manifestazioni: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GEE – Global Elevator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Exhibition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,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interamente dedicato alla mobilità orizzontale e verticale,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MADE expo,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la manifestazione internazionale leader in Italia per le soluzioni innovative e sostenibili per le costruzioni e l’involucro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, SMART BUILDING EXPO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,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manifestazione fieristica di riferimento in Italia per l'home and building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automation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e l'integrazione tecnologica e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SICUREZZA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evento fieristico di riferimento in Italia e tra i primi in Europa dedicato a security &amp;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fire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>. Fil rouge della proposta espositiva globale, soluzioni, materiali e tecnologie proposte da comparti fondamentali per la progettazione, la costruzione e la riqualificazione dell’edificio tra efficienza energetica e sostenibilità.</w:t>
            </w:r>
          </w:p>
          <w:bookmarkEnd w:id="0"/>
          <w:p w14:paraId="5468F1BE" w14:textId="1CC76A5D" w:rsidR="003B4236" w:rsidRPr="00B90269" w:rsidRDefault="003B4236" w:rsidP="7C2DE4C3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it-IT"/>
              </w:rPr>
            </w:pPr>
          </w:p>
        </w:tc>
      </w:tr>
    </w:tbl>
    <w:p w14:paraId="67750AE5" w14:textId="2BC07855" w:rsidR="005F2D6E" w:rsidRPr="00B90269" w:rsidRDefault="005F2D6E">
      <w:pPr>
        <w:rPr>
          <w:rFonts w:ascii="Arial" w:hAnsi="Arial" w:cs="Arial"/>
          <w:sz w:val="22"/>
          <w:szCs w:val="22"/>
        </w:rPr>
      </w:pPr>
    </w:p>
    <w:sectPr w:rsidR="005F2D6E" w:rsidRPr="00B90269" w:rsidSect="00502E56">
      <w:headerReference w:type="default" r:id="rId13"/>
      <w:pgSz w:w="11900" w:h="16840"/>
      <w:pgMar w:top="2410" w:right="851" w:bottom="2552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9941B" w14:textId="77777777" w:rsidR="00C56280" w:rsidRDefault="00C56280" w:rsidP="00FF6806">
      <w:r>
        <w:separator/>
      </w:r>
    </w:p>
  </w:endnote>
  <w:endnote w:type="continuationSeparator" w:id="0">
    <w:p w14:paraId="1E7B0A7B" w14:textId="77777777" w:rsidR="00C56280" w:rsidRDefault="00C56280" w:rsidP="00FF6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A24B7" w14:textId="77777777" w:rsidR="00C56280" w:rsidRDefault="00C56280" w:rsidP="00FF6806">
      <w:r>
        <w:separator/>
      </w:r>
    </w:p>
  </w:footnote>
  <w:footnote w:type="continuationSeparator" w:id="0">
    <w:p w14:paraId="281A4EE7" w14:textId="77777777" w:rsidR="00C56280" w:rsidRDefault="00C56280" w:rsidP="00FF6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872A4" w14:textId="47DB46B1" w:rsidR="00FF6806" w:rsidRDefault="00632376">
    <w:pPr>
      <w:pStyle w:val="Intestazione"/>
    </w:pPr>
    <w:r w:rsidRPr="000C0C9B">
      <w:rPr>
        <w:noProof/>
      </w:rPr>
      <w:drawing>
        <wp:anchor distT="0" distB="0" distL="114300" distR="114300" simplePos="0" relativeHeight="251657216" behindDoc="0" locked="0" layoutInCell="1" allowOverlap="1" wp14:anchorId="07B7A115" wp14:editId="113D1846">
          <wp:simplePos x="0" y="0"/>
          <wp:positionH relativeFrom="margin">
            <wp:posOffset>5309870</wp:posOffset>
          </wp:positionH>
          <wp:positionV relativeFrom="margin">
            <wp:posOffset>-1135380</wp:posOffset>
          </wp:positionV>
          <wp:extent cx="1447800" cy="89979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6806" w:rsidRPr="005F2D6E">
      <w:rPr>
        <w:rFonts w:ascii="HelveticaNeue" w:hAnsi="HelveticaNeue" w:cs="HelveticaNeue"/>
        <w:noProof/>
        <w:color w:val="286452"/>
        <w:sz w:val="12"/>
        <w:szCs w:val="12"/>
        <w:lang w:eastAsia="it-IT"/>
      </w:rPr>
      <w:drawing>
        <wp:inline distT="0" distB="0" distL="0" distR="0" wp14:anchorId="30D600A5" wp14:editId="3FD1CAD3">
          <wp:extent cx="1097767" cy="686435"/>
          <wp:effectExtent l="25400" t="0" r="0" b="0"/>
          <wp:docPr id="1" name="Immagine 0" descr="logo_FM_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M_2020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98296" cy="6867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1DF39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49252F"/>
    <w:multiLevelType w:val="hybridMultilevel"/>
    <w:tmpl w:val="895E5D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356EB"/>
    <w:multiLevelType w:val="hybridMultilevel"/>
    <w:tmpl w:val="69A419C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92CFF"/>
    <w:multiLevelType w:val="hybridMultilevel"/>
    <w:tmpl w:val="E8E4F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C7577"/>
    <w:multiLevelType w:val="hybridMultilevel"/>
    <w:tmpl w:val="3314E9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DDD7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6464C35"/>
    <w:multiLevelType w:val="hybridMultilevel"/>
    <w:tmpl w:val="F62812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3998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026111E"/>
    <w:multiLevelType w:val="hybridMultilevel"/>
    <w:tmpl w:val="10C0EFCA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663159">
    <w:abstractNumId w:val="4"/>
  </w:num>
  <w:num w:numId="2" w16cid:durableId="1675953128">
    <w:abstractNumId w:val="1"/>
  </w:num>
  <w:num w:numId="3" w16cid:durableId="1666976254">
    <w:abstractNumId w:val="8"/>
  </w:num>
  <w:num w:numId="4" w16cid:durableId="419761355">
    <w:abstractNumId w:val="6"/>
  </w:num>
  <w:num w:numId="5" w16cid:durableId="330647245">
    <w:abstractNumId w:val="2"/>
  </w:num>
  <w:num w:numId="6" w16cid:durableId="1230262878">
    <w:abstractNumId w:val="3"/>
  </w:num>
  <w:num w:numId="7" w16cid:durableId="266470338">
    <w:abstractNumId w:val="5"/>
  </w:num>
  <w:num w:numId="8" w16cid:durableId="1186871714">
    <w:abstractNumId w:val="7"/>
  </w:num>
  <w:num w:numId="9" w16cid:durableId="850097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D6E"/>
    <w:rsid w:val="000038DF"/>
    <w:rsid w:val="00005BC8"/>
    <w:rsid w:val="00006933"/>
    <w:rsid w:val="00013FAD"/>
    <w:rsid w:val="00016CC5"/>
    <w:rsid w:val="00021ACE"/>
    <w:rsid w:val="00024660"/>
    <w:rsid w:val="00034E13"/>
    <w:rsid w:val="00040116"/>
    <w:rsid w:val="00042DFC"/>
    <w:rsid w:val="000722A7"/>
    <w:rsid w:val="000818EF"/>
    <w:rsid w:val="00082DA5"/>
    <w:rsid w:val="00092E44"/>
    <w:rsid w:val="000A5C2B"/>
    <w:rsid w:val="000A63C9"/>
    <w:rsid w:val="000A67D6"/>
    <w:rsid w:val="000B6C8D"/>
    <w:rsid w:val="000C0C9B"/>
    <w:rsid w:val="000C57DE"/>
    <w:rsid w:val="000D38F3"/>
    <w:rsid w:val="0010661A"/>
    <w:rsid w:val="00121395"/>
    <w:rsid w:val="0014000C"/>
    <w:rsid w:val="001448C1"/>
    <w:rsid w:val="00145245"/>
    <w:rsid w:val="0015591F"/>
    <w:rsid w:val="00155DBA"/>
    <w:rsid w:val="0015D9C6"/>
    <w:rsid w:val="00171EF0"/>
    <w:rsid w:val="001851CE"/>
    <w:rsid w:val="00185CDE"/>
    <w:rsid w:val="001A464A"/>
    <w:rsid w:val="001B46FC"/>
    <w:rsid w:val="001B72C7"/>
    <w:rsid w:val="001D1FA5"/>
    <w:rsid w:val="0021206C"/>
    <w:rsid w:val="002126AD"/>
    <w:rsid w:val="002174CA"/>
    <w:rsid w:val="00224162"/>
    <w:rsid w:val="0023152C"/>
    <w:rsid w:val="00234DD0"/>
    <w:rsid w:val="00240095"/>
    <w:rsid w:val="00252931"/>
    <w:rsid w:val="00257B80"/>
    <w:rsid w:val="002839FE"/>
    <w:rsid w:val="0028613A"/>
    <w:rsid w:val="0028717E"/>
    <w:rsid w:val="002A3624"/>
    <w:rsid w:val="002C15CF"/>
    <w:rsid w:val="002D0DC1"/>
    <w:rsid w:val="002F6D6F"/>
    <w:rsid w:val="002F7850"/>
    <w:rsid w:val="00322BE7"/>
    <w:rsid w:val="00325C6D"/>
    <w:rsid w:val="0034573F"/>
    <w:rsid w:val="003526DF"/>
    <w:rsid w:val="00373E4E"/>
    <w:rsid w:val="00383BEE"/>
    <w:rsid w:val="003912DA"/>
    <w:rsid w:val="00393567"/>
    <w:rsid w:val="003941E6"/>
    <w:rsid w:val="003B4236"/>
    <w:rsid w:val="003B4E1C"/>
    <w:rsid w:val="003C541B"/>
    <w:rsid w:val="003D0CE8"/>
    <w:rsid w:val="003E6034"/>
    <w:rsid w:val="003F047E"/>
    <w:rsid w:val="003F073B"/>
    <w:rsid w:val="003F42F9"/>
    <w:rsid w:val="00404F51"/>
    <w:rsid w:val="004239FE"/>
    <w:rsid w:val="00433E49"/>
    <w:rsid w:val="004354D0"/>
    <w:rsid w:val="004751AB"/>
    <w:rsid w:val="004853D7"/>
    <w:rsid w:val="00485785"/>
    <w:rsid w:val="00486360"/>
    <w:rsid w:val="0049691D"/>
    <w:rsid w:val="004A7365"/>
    <w:rsid w:val="004A76E3"/>
    <w:rsid w:val="004C5DDD"/>
    <w:rsid w:val="004E0BE2"/>
    <w:rsid w:val="004E49D0"/>
    <w:rsid w:val="004F2F1F"/>
    <w:rsid w:val="00501948"/>
    <w:rsid w:val="00502E56"/>
    <w:rsid w:val="00520852"/>
    <w:rsid w:val="005234F6"/>
    <w:rsid w:val="00523CF0"/>
    <w:rsid w:val="005343EA"/>
    <w:rsid w:val="00536502"/>
    <w:rsid w:val="00574EFF"/>
    <w:rsid w:val="005A4C34"/>
    <w:rsid w:val="005B0FCD"/>
    <w:rsid w:val="005D25C5"/>
    <w:rsid w:val="005D5870"/>
    <w:rsid w:val="005F1453"/>
    <w:rsid w:val="005F2D6E"/>
    <w:rsid w:val="005F4DB1"/>
    <w:rsid w:val="006272E7"/>
    <w:rsid w:val="00632376"/>
    <w:rsid w:val="00642406"/>
    <w:rsid w:val="00647282"/>
    <w:rsid w:val="00653F26"/>
    <w:rsid w:val="00673944"/>
    <w:rsid w:val="006945C3"/>
    <w:rsid w:val="00696934"/>
    <w:rsid w:val="00697DA1"/>
    <w:rsid w:val="006B454E"/>
    <w:rsid w:val="006C0C13"/>
    <w:rsid w:val="006C54F4"/>
    <w:rsid w:val="006D19A6"/>
    <w:rsid w:val="006D6D81"/>
    <w:rsid w:val="006E781D"/>
    <w:rsid w:val="00704BF6"/>
    <w:rsid w:val="00726058"/>
    <w:rsid w:val="0073437B"/>
    <w:rsid w:val="00737284"/>
    <w:rsid w:val="00744B59"/>
    <w:rsid w:val="007541AA"/>
    <w:rsid w:val="007651E6"/>
    <w:rsid w:val="00793D92"/>
    <w:rsid w:val="007B5B9C"/>
    <w:rsid w:val="007E10C0"/>
    <w:rsid w:val="007E2018"/>
    <w:rsid w:val="007E2581"/>
    <w:rsid w:val="007E3BA2"/>
    <w:rsid w:val="007E45B9"/>
    <w:rsid w:val="007F0B33"/>
    <w:rsid w:val="008031D9"/>
    <w:rsid w:val="008042DD"/>
    <w:rsid w:val="00805BED"/>
    <w:rsid w:val="0081637F"/>
    <w:rsid w:val="00816FD6"/>
    <w:rsid w:val="00820AE7"/>
    <w:rsid w:val="008216A3"/>
    <w:rsid w:val="00825484"/>
    <w:rsid w:val="00827CB5"/>
    <w:rsid w:val="0083240F"/>
    <w:rsid w:val="00880076"/>
    <w:rsid w:val="00885415"/>
    <w:rsid w:val="0089491C"/>
    <w:rsid w:val="008A2483"/>
    <w:rsid w:val="008E560E"/>
    <w:rsid w:val="008F2003"/>
    <w:rsid w:val="009019BF"/>
    <w:rsid w:val="00901D71"/>
    <w:rsid w:val="00911EC9"/>
    <w:rsid w:val="00925678"/>
    <w:rsid w:val="00926819"/>
    <w:rsid w:val="009331BF"/>
    <w:rsid w:val="00934E14"/>
    <w:rsid w:val="009501F1"/>
    <w:rsid w:val="00953CC6"/>
    <w:rsid w:val="00960616"/>
    <w:rsid w:val="00960E29"/>
    <w:rsid w:val="0096706F"/>
    <w:rsid w:val="00972E3B"/>
    <w:rsid w:val="0098261B"/>
    <w:rsid w:val="0099267B"/>
    <w:rsid w:val="00994098"/>
    <w:rsid w:val="00997C06"/>
    <w:rsid w:val="009A047B"/>
    <w:rsid w:val="009B1730"/>
    <w:rsid w:val="009B173E"/>
    <w:rsid w:val="009B4068"/>
    <w:rsid w:val="00A0344E"/>
    <w:rsid w:val="00A157B1"/>
    <w:rsid w:val="00A21B65"/>
    <w:rsid w:val="00A45C12"/>
    <w:rsid w:val="00A56303"/>
    <w:rsid w:val="00A57CE7"/>
    <w:rsid w:val="00A63295"/>
    <w:rsid w:val="00A7464A"/>
    <w:rsid w:val="00A847BB"/>
    <w:rsid w:val="00A86616"/>
    <w:rsid w:val="00AA13C4"/>
    <w:rsid w:val="00AB5AE0"/>
    <w:rsid w:val="00AD0D35"/>
    <w:rsid w:val="00AF33D0"/>
    <w:rsid w:val="00B017AA"/>
    <w:rsid w:val="00B048B7"/>
    <w:rsid w:val="00B04D84"/>
    <w:rsid w:val="00B36495"/>
    <w:rsid w:val="00B36D51"/>
    <w:rsid w:val="00B55C71"/>
    <w:rsid w:val="00B56B94"/>
    <w:rsid w:val="00B60DC1"/>
    <w:rsid w:val="00B61EB1"/>
    <w:rsid w:val="00B715B8"/>
    <w:rsid w:val="00B72022"/>
    <w:rsid w:val="00B86A2D"/>
    <w:rsid w:val="00B90269"/>
    <w:rsid w:val="00BC56D4"/>
    <w:rsid w:val="00BC705D"/>
    <w:rsid w:val="00BC7316"/>
    <w:rsid w:val="00BD09D4"/>
    <w:rsid w:val="00C111E4"/>
    <w:rsid w:val="00C1443B"/>
    <w:rsid w:val="00C170FE"/>
    <w:rsid w:val="00C3328F"/>
    <w:rsid w:val="00C4185C"/>
    <w:rsid w:val="00C56280"/>
    <w:rsid w:val="00C6224C"/>
    <w:rsid w:val="00C7277D"/>
    <w:rsid w:val="00C77B32"/>
    <w:rsid w:val="00C93EF3"/>
    <w:rsid w:val="00CB32A5"/>
    <w:rsid w:val="00CB68D4"/>
    <w:rsid w:val="00CC3118"/>
    <w:rsid w:val="00CD3D10"/>
    <w:rsid w:val="00CD61E9"/>
    <w:rsid w:val="00CF7C2B"/>
    <w:rsid w:val="00D14E26"/>
    <w:rsid w:val="00D150EB"/>
    <w:rsid w:val="00D15D08"/>
    <w:rsid w:val="00D25377"/>
    <w:rsid w:val="00D67D9E"/>
    <w:rsid w:val="00DA4DD5"/>
    <w:rsid w:val="00DA57DA"/>
    <w:rsid w:val="00DA636E"/>
    <w:rsid w:val="00DB17BF"/>
    <w:rsid w:val="00DB2126"/>
    <w:rsid w:val="00DB70DE"/>
    <w:rsid w:val="00DD1EDC"/>
    <w:rsid w:val="00E013E3"/>
    <w:rsid w:val="00E17019"/>
    <w:rsid w:val="00E20245"/>
    <w:rsid w:val="00E262A8"/>
    <w:rsid w:val="00E3559E"/>
    <w:rsid w:val="00E36D1A"/>
    <w:rsid w:val="00E47316"/>
    <w:rsid w:val="00E53396"/>
    <w:rsid w:val="00E64F28"/>
    <w:rsid w:val="00E67593"/>
    <w:rsid w:val="00E741E2"/>
    <w:rsid w:val="00E81059"/>
    <w:rsid w:val="00ED5E8C"/>
    <w:rsid w:val="00EE0D4F"/>
    <w:rsid w:val="00EE6AF0"/>
    <w:rsid w:val="00EF5870"/>
    <w:rsid w:val="00F0051C"/>
    <w:rsid w:val="00F0602D"/>
    <w:rsid w:val="00F1370A"/>
    <w:rsid w:val="00F45865"/>
    <w:rsid w:val="00F51AF0"/>
    <w:rsid w:val="00F61445"/>
    <w:rsid w:val="00F640FE"/>
    <w:rsid w:val="00F75CCB"/>
    <w:rsid w:val="00F7B5D2"/>
    <w:rsid w:val="00FB6CA7"/>
    <w:rsid w:val="00FB7E85"/>
    <w:rsid w:val="00FC571B"/>
    <w:rsid w:val="00FD207C"/>
    <w:rsid w:val="00FF6806"/>
    <w:rsid w:val="01871BC4"/>
    <w:rsid w:val="02BBE6E6"/>
    <w:rsid w:val="031DB141"/>
    <w:rsid w:val="038BC72B"/>
    <w:rsid w:val="0407F7EA"/>
    <w:rsid w:val="044B9DD9"/>
    <w:rsid w:val="0454A9C9"/>
    <w:rsid w:val="04BE6F38"/>
    <w:rsid w:val="04FD524D"/>
    <w:rsid w:val="050DD7D6"/>
    <w:rsid w:val="0535E2D6"/>
    <w:rsid w:val="0560C5C2"/>
    <w:rsid w:val="05DE3481"/>
    <w:rsid w:val="0628661B"/>
    <w:rsid w:val="062D9EA3"/>
    <w:rsid w:val="06308E62"/>
    <w:rsid w:val="065F31CA"/>
    <w:rsid w:val="06886114"/>
    <w:rsid w:val="06A5C24D"/>
    <w:rsid w:val="0731A869"/>
    <w:rsid w:val="082980F2"/>
    <w:rsid w:val="084192AE"/>
    <w:rsid w:val="087EB66B"/>
    <w:rsid w:val="08D3EBE4"/>
    <w:rsid w:val="098B4A6A"/>
    <w:rsid w:val="099D1440"/>
    <w:rsid w:val="0A694783"/>
    <w:rsid w:val="0A9C9439"/>
    <w:rsid w:val="0C02B114"/>
    <w:rsid w:val="0C56AFBE"/>
    <w:rsid w:val="0DD2E259"/>
    <w:rsid w:val="0E5A67E1"/>
    <w:rsid w:val="0E8A56E2"/>
    <w:rsid w:val="0F710C6C"/>
    <w:rsid w:val="10D62237"/>
    <w:rsid w:val="112A20E1"/>
    <w:rsid w:val="1193E977"/>
    <w:rsid w:val="119804AA"/>
    <w:rsid w:val="11B12D07"/>
    <w:rsid w:val="12C5F142"/>
    <w:rsid w:val="1308C52F"/>
    <w:rsid w:val="157AEE91"/>
    <w:rsid w:val="16BDA640"/>
    <w:rsid w:val="17043AD3"/>
    <w:rsid w:val="17274963"/>
    <w:rsid w:val="1734991E"/>
    <w:rsid w:val="17F53676"/>
    <w:rsid w:val="18206E8B"/>
    <w:rsid w:val="196B5300"/>
    <w:rsid w:val="199106D7"/>
    <w:rsid w:val="1A6BC9A6"/>
    <w:rsid w:val="1C1E6F1C"/>
    <w:rsid w:val="1C4B7D75"/>
    <w:rsid w:val="1CC97C7A"/>
    <w:rsid w:val="1CF4C31A"/>
    <w:rsid w:val="1D89E8F7"/>
    <w:rsid w:val="1DA3DAA2"/>
    <w:rsid w:val="1E3BD22F"/>
    <w:rsid w:val="1EED33AE"/>
    <w:rsid w:val="1F687E1B"/>
    <w:rsid w:val="210D25ED"/>
    <w:rsid w:val="21669EC1"/>
    <w:rsid w:val="21831EF5"/>
    <w:rsid w:val="221ADF41"/>
    <w:rsid w:val="22ED3E12"/>
    <w:rsid w:val="2351E65B"/>
    <w:rsid w:val="25023730"/>
    <w:rsid w:val="274A4CAE"/>
    <w:rsid w:val="27E9B559"/>
    <w:rsid w:val="28B201F3"/>
    <w:rsid w:val="28B64ACA"/>
    <w:rsid w:val="28D70E59"/>
    <w:rsid w:val="29168C04"/>
    <w:rsid w:val="29C127DF"/>
    <w:rsid w:val="29D2D6E5"/>
    <w:rsid w:val="2A15BA7B"/>
    <w:rsid w:val="2BC2C64F"/>
    <w:rsid w:val="2C51B537"/>
    <w:rsid w:val="2C6325C7"/>
    <w:rsid w:val="2C6F34D2"/>
    <w:rsid w:val="2CD69962"/>
    <w:rsid w:val="2CD6CEE3"/>
    <w:rsid w:val="2CF8C8A1"/>
    <w:rsid w:val="2D71779E"/>
    <w:rsid w:val="3004E740"/>
    <w:rsid w:val="304046DB"/>
    <w:rsid w:val="304B89FE"/>
    <w:rsid w:val="307150A3"/>
    <w:rsid w:val="30DC37EB"/>
    <w:rsid w:val="31CBC98A"/>
    <w:rsid w:val="320D2104"/>
    <w:rsid w:val="322E4B92"/>
    <w:rsid w:val="324907B4"/>
    <w:rsid w:val="327F53DA"/>
    <w:rsid w:val="3345DAE6"/>
    <w:rsid w:val="33680A25"/>
    <w:rsid w:val="337E3E1D"/>
    <w:rsid w:val="33D4C0F2"/>
    <w:rsid w:val="340B4339"/>
    <w:rsid w:val="34CF7F88"/>
    <w:rsid w:val="3503DA86"/>
    <w:rsid w:val="351735FF"/>
    <w:rsid w:val="355768F6"/>
    <w:rsid w:val="35DE751C"/>
    <w:rsid w:val="35E7B1B6"/>
    <w:rsid w:val="36B44727"/>
    <w:rsid w:val="399BF40D"/>
    <w:rsid w:val="3A524F00"/>
    <w:rsid w:val="3A67FDD7"/>
    <w:rsid w:val="3AB38E94"/>
    <w:rsid w:val="3BA24F33"/>
    <w:rsid w:val="3BC422D1"/>
    <w:rsid w:val="3BDD4B2E"/>
    <w:rsid w:val="3CD394CF"/>
    <w:rsid w:val="3D4142E6"/>
    <w:rsid w:val="3DE0801F"/>
    <w:rsid w:val="3DE98701"/>
    <w:rsid w:val="3E917A95"/>
    <w:rsid w:val="3EAA4C92"/>
    <w:rsid w:val="3EEBA45C"/>
    <w:rsid w:val="3EF11966"/>
    <w:rsid w:val="3FF7B2A8"/>
    <w:rsid w:val="409793F4"/>
    <w:rsid w:val="409A1B9D"/>
    <w:rsid w:val="409B2830"/>
    <w:rsid w:val="41664BEF"/>
    <w:rsid w:val="42054AFD"/>
    <w:rsid w:val="423D2349"/>
    <w:rsid w:val="42DDA958"/>
    <w:rsid w:val="432A2F70"/>
    <w:rsid w:val="43399D95"/>
    <w:rsid w:val="433C870B"/>
    <w:rsid w:val="43470775"/>
    <w:rsid w:val="4458C885"/>
    <w:rsid w:val="44DEA6B4"/>
    <w:rsid w:val="4703DFFE"/>
    <w:rsid w:val="472D3F28"/>
    <w:rsid w:val="47926185"/>
    <w:rsid w:val="47960EDA"/>
    <w:rsid w:val="48181199"/>
    <w:rsid w:val="4866F529"/>
    <w:rsid w:val="489F4CD5"/>
    <w:rsid w:val="48E3A7FF"/>
    <w:rsid w:val="4969124D"/>
    <w:rsid w:val="4A0B90F1"/>
    <w:rsid w:val="4A3E763A"/>
    <w:rsid w:val="4A4C4477"/>
    <w:rsid w:val="4B32392D"/>
    <w:rsid w:val="4B90BD20"/>
    <w:rsid w:val="4BD2BD6F"/>
    <w:rsid w:val="4BDA469B"/>
    <w:rsid w:val="4CB768DA"/>
    <w:rsid w:val="4D9B655C"/>
    <w:rsid w:val="4DF731C0"/>
    <w:rsid w:val="4E03ADFA"/>
    <w:rsid w:val="4ED7BBD5"/>
    <w:rsid w:val="4F0D5472"/>
    <w:rsid w:val="4F620830"/>
    <w:rsid w:val="50642E43"/>
    <w:rsid w:val="507615C2"/>
    <w:rsid w:val="50896B98"/>
    <w:rsid w:val="50A957A4"/>
    <w:rsid w:val="50B4DC26"/>
    <w:rsid w:val="5130E199"/>
    <w:rsid w:val="51AA008A"/>
    <w:rsid w:val="51B4EB2F"/>
    <w:rsid w:val="5228976B"/>
    <w:rsid w:val="52CED0EF"/>
    <w:rsid w:val="5326AA5E"/>
    <w:rsid w:val="535963B3"/>
    <w:rsid w:val="53997BBD"/>
    <w:rsid w:val="53E4FE71"/>
    <w:rsid w:val="5435A5E9"/>
    <w:rsid w:val="548082F6"/>
    <w:rsid w:val="5580CED2"/>
    <w:rsid w:val="560A4C76"/>
    <w:rsid w:val="563CE635"/>
    <w:rsid w:val="56988865"/>
    <w:rsid w:val="56EBDB86"/>
    <w:rsid w:val="571C9F33"/>
    <w:rsid w:val="57A8854F"/>
    <w:rsid w:val="57DB237F"/>
    <w:rsid w:val="57E606B0"/>
    <w:rsid w:val="57F793D8"/>
    <w:rsid w:val="583458C6"/>
    <w:rsid w:val="585BFFB8"/>
    <w:rsid w:val="58837441"/>
    <w:rsid w:val="58E45201"/>
    <w:rsid w:val="593B61F0"/>
    <w:rsid w:val="5A2B2747"/>
    <w:rsid w:val="5A91591C"/>
    <w:rsid w:val="5AA9B27B"/>
    <w:rsid w:val="5B123555"/>
    <w:rsid w:val="5BA6E0EA"/>
    <w:rsid w:val="5BB5846E"/>
    <w:rsid w:val="5C1BDE99"/>
    <w:rsid w:val="5C2FD24A"/>
    <w:rsid w:val="5D4438D0"/>
    <w:rsid w:val="5E1FB459"/>
    <w:rsid w:val="5EC2961C"/>
    <w:rsid w:val="60052D66"/>
    <w:rsid w:val="600D1AEC"/>
    <w:rsid w:val="6157551B"/>
    <w:rsid w:val="6178CBB9"/>
    <w:rsid w:val="61A0FDC7"/>
    <w:rsid w:val="61BF1B0A"/>
    <w:rsid w:val="6216226E"/>
    <w:rsid w:val="6267996F"/>
    <w:rsid w:val="62F0BD04"/>
    <w:rsid w:val="636B2CA8"/>
    <w:rsid w:val="639FEC03"/>
    <w:rsid w:val="63DEFAE9"/>
    <w:rsid w:val="640369D0"/>
    <w:rsid w:val="64849FDF"/>
    <w:rsid w:val="648EF5DD"/>
    <w:rsid w:val="64E08C0F"/>
    <w:rsid w:val="654E6FD8"/>
    <w:rsid w:val="65F0DF02"/>
    <w:rsid w:val="65FDD6AA"/>
    <w:rsid w:val="662AC63E"/>
    <w:rsid w:val="66746EEA"/>
    <w:rsid w:val="667C5C70"/>
    <w:rsid w:val="670E2026"/>
    <w:rsid w:val="681285F3"/>
    <w:rsid w:val="68387AAD"/>
    <w:rsid w:val="6886109A"/>
    <w:rsid w:val="699B6C90"/>
    <w:rsid w:val="69C27938"/>
    <w:rsid w:val="6AD2C0A8"/>
    <w:rsid w:val="6AE50F04"/>
    <w:rsid w:val="6B00C967"/>
    <w:rsid w:val="6C7B1FA2"/>
    <w:rsid w:val="6CA8836B"/>
    <w:rsid w:val="6D5981BD"/>
    <w:rsid w:val="6D6E5F1D"/>
    <w:rsid w:val="6E00C5DD"/>
    <w:rsid w:val="6F9725C9"/>
    <w:rsid w:val="6FCF400C"/>
    <w:rsid w:val="6FD1A884"/>
    <w:rsid w:val="7020B70D"/>
    <w:rsid w:val="71424EAC"/>
    <w:rsid w:val="71A692CA"/>
    <w:rsid w:val="71BC876E"/>
    <w:rsid w:val="71BF0F17"/>
    <w:rsid w:val="72073A45"/>
    <w:rsid w:val="72F020E9"/>
    <w:rsid w:val="73C8C341"/>
    <w:rsid w:val="73DD226C"/>
    <w:rsid w:val="74BC8634"/>
    <w:rsid w:val="754066C8"/>
    <w:rsid w:val="75E28546"/>
    <w:rsid w:val="760FAE99"/>
    <w:rsid w:val="763E8190"/>
    <w:rsid w:val="7687B0B9"/>
    <w:rsid w:val="768FF891"/>
    <w:rsid w:val="76C5E0B7"/>
    <w:rsid w:val="77085189"/>
    <w:rsid w:val="774BEFC7"/>
    <w:rsid w:val="7786432D"/>
    <w:rsid w:val="77F56BDC"/>
    <w:rsid w:val="78A2099D"/>
    <w:rsid w:val="78B2C914"/>
    <w:rsid w:val="79098D1F"/>
    <w:rsid w:val="79133E45"/>
    <w:rsid w:val="7A3804C5"/>
    <w:rsid w:val="7A921462"/>
    <w:rsid w:val="7AAF0EA6"/>
    <w:rsid w:val="7B1DE148"/>
    <w:rsid w:val="7B70B253"/>
    <w:rsid w:val="7BB38A87"/>
    <w:rsid w:val="7BE7B68F"/>
    <w:rsid w:val="7BEEF5C1"/>
    <w:rsid w:val="7C2DE4C3"/>
    <w:rsid w:val="7D7E5498"/>
    <w:rsid w:val="7D7F23D9"/>
    <w:rsid w:val="7E75F859"/>
    <w:rsid w:val="7EEB2B4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5C75B"/>
  <w15:docId w15:val="{A973D3E4-FAC6-4C1A-9233-F3BA686BD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E288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F2D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fobase">
    <w:name w:val="[Paragrafo base]"/>
    <w:basedOn w:val="Normale"/>
    <w:rsid w:val="005F2D6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Intestazione">
    <w:name w:val="header"/>
    <w:basedOn w:val="Normale"/>
    <w:link w:val="IntestazioneCarattere"/>
    <w:rsid w:val="00523C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23CF0"/>
  </w:style>
  <w:style w:type="paragraph" w:styleId="Pidipagina">
    <w:name w:val="footer"/>
    <w:basedOn w:val="Normale"/>
    <w:link w:val="PidipaginaCarattere"/>
    <w:rsid w:val="00523C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23CF0"/>
  </w:style>
  <w:style w:type="paragraph" w:styleId="Testofumetto">
    <w:name w:val="Balloon Text"/>
    <w:basedOn w:val="Normale"/>
    <w:link w:val="TestofumettoCarattere"/>
    <w:semiHidden/>
    <w:unhideWhenUsed/>
    <w:rsid w:val="00953C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953CC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53CC6"/>
    <w:pPr>
      <w:ind w:left="720"/>
    </w:pPr>
    <w:rPr>
      <w:rFonts w:ascii="Calibri" w:eastAsia="Calibri" w:hAnsi="Calibri" w:cs="Times New Roman"/>
      <w:sz w:val="22"/>
      <w:szCs w:val="22"/>
    </w:rPr>
  </w:style>
  <w:style w:type="character" w:styleId="Rimandocommento">
    <w:name w:val="annotation reference"/>
    <w:uiPriority w:val="99"/>
    <w:rsid w:val="00325C6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325C6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25C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49691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4573F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4573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Default">
    <w:name w:val="Default"/>
    <w:rsid w:val="00C7277D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paragraph">
    <w:name w:val="paragraph"/>
    <w:basedOn w:val="Normale"/>
    <w:rsid w:val="0067394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73944"/>
  </w:style>
  <w:style w:type="character" w:customStyle="1" w:styleId="eop">
    <w:name w:val="eop"/>
    <w:basedOn w:val="Carpredefinitoparagrafo"/>
    <w:rsid w:val="00673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8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1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74DC8BF3789845B2B546921AB1D586" ma:contentTypeVersion="76" ma:contentTypeDescription="Creare un nuovo documento." ma:contentTypeScope="" ma:versionID="0f8b98c50734b3f4b3a12acef3a8d419">
  <xsd:schema xmlns:xsd="http://www.w3.org/2001/XMLSchema" xmlns:xs="http://www.w3.org/2001/XMLSchema" xmlns:p="http://schemas.microsoft.com/office/2006/metadata/properties" xmlns:ns2="39B09A0F-4892-4B7F-976B-0BD8F6B2B556" xmlns:ns3="1e8d55f3-3533-4249-a746-9ae4243ab91e" xmlns:ns4="39b09a0f-4892-4b7f-976b-0bd8f6b2b556" targetNamespace="http://schemas.microsoft.com/office/2006/metadata/properties" ma:root="true" ma:fieldsID="a97fe3f9cd54f71ecf4dd97d3825a161" ns2:_="" ns3:_="" ns4:_="">
    <xsd:import namespace="39B09A0F-4892-4B7F-976B-0BD8F6B2B556"/>
    <xsd:import namespace="1e8d55f3-3533-4249-a746-9ae4243ab91e"/>
    <xsd:import namespace="39b09a0f-4892-4b7f-976b-0bd8f6b2b556"/>
    <xsd:element name="properties">
      <xsd:complexType>
        <xsd:sequence>
          <xsd:element name="documentManagement">
            <xsd:complexType>
              <xsd:all>
                <xsd:element ref="ns2:Data_x0020_emissione" minOccurs="0"/>
                <xsd:element ref="ns2:Codice_x0020_documento" minOccurs="0"/>
                <xsd:element ref="ns2:Tipologia"/>
                <xsd:element ref="ns2:Descrizione" minOccurs="0"/>
                <xsd:element ref="ns3:_dlc_DocId" minOccurs="0"/>
                <xsd:element ref="ns3:_dlc_DocIdUrl" minOccurs="0"/>
                <xsd:element ref="ns3:_dlc_DocIdPersistId" minOccurs="0"/>
                <xsd:element ref="ns4:Archivio" minOccurs="0"/>
                <xsd:element ref="ns4:Ic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B09A0F-4892-4B7F-976B-0BD8F6B2B556" elementFormDefault="qualified">
    <xsd:import namespace="http://schemas.microsoft.com/office/2006/documentManagement/types"/>
    <xsd:import namespace="http://schemas.microsoft.com/office/infopath/2007/PartnerControls"/>
    <xsd:element name="Data_x0020_emissione" ma:index="8" nillable="true" ma:displayName="Data emissione" ma:default="[today]" ma:format="DateOnly" ma:internalName="Data_x0020_emissione" ma:readOnly="false">
      <xsd:simpleType>
        <xsd:restriction base="dms:DateTime"/>
      </xsd:simpleType>
    </xsd:element>
    <xsd:element name="Codice_x0020_documento" ma:index="9" nillable="true" ma:displayName="Codice documento" ma:internalName="Codice_x0020_documento" ma:readOnly="false">
      <xsd:simpleType>
        <xsd:restriction base="dms:Text"/>
      </xsd:simpleType>
    </xsd:element>
    <xsd:element name="Tipologia" ma:index="10" ma:displayName="Tipologia" ma:format="Dropdown" ma:internalName="Tipologia" ma:readOnly="false">
      <xsd:simpleType>
        <xsd:restriction base="dms:Choice">
          <xsd:enumeration value="Corporate image"/>
          <xsd:enumeration value="ICT"/>
          <xsd:enumeration value="Logistica"/>
          <xsd:enumeration value="Mobilità"/>
          <xsd:enumeration value="Orari dei quartieri"/>
          <xsd:enumeration value="Parcheggia in Fiera"/>
          <xsd:enumeration value="Prevenzione e protezione"/>
          <xsd:enumeration value="Qualità"/>
          <xsd:enumeration value="Rapporti Settoriali Business Intelligence"/>
          <xsd:enumeration value="Sicurezza (Safety)"/>
        </xsd:restriction>
      </xsd:simpleType>
    </xsd:element>
    <xsd:element name="Descrizione" ma:index="11" nillable="true" ma:displayName="Descrizione" ma:internalName="Descrizion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d55f3-3533-4249-a746-9ae4243ab91e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13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Salva ID in modo permanente" ma:description="Mantenere ID all'aggiunta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b09a0f-4892-4b7f-976b-0bd8f6b2b556" elementFormDefault="qualified">
    <xsd:import namespace="http://schemas.microsoft.com/office/2006/documentManagement/types"/>
    <xsd:import namespace="http://schemas.microsoft.com/office/infopath/2007/PartnerControls"/>
    <xsd:element name="Archivio" ma:index="15" nillable="true" ma:displayName="Archivio" ma:default="0" ma:description="Utilizzare solo per documenti obsoleti." ma:internalName="Archivio">
      <xsd:simpleType>
        <xsd:restriction base="dms:Boolean"/>
      </xsd:simpleType>
    </xsd:element>
    <xsd:element name="Icon" ma:index="16" nillable="true" ma:displayName="Icon" ma:format="Image" ma:hidden="true" ma:internalName="Icon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FCCBE3-4440-4C04-9600-9D34519E24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AD4684-1EBD-4083-860B-27ADAE0754DD}"/>
</file>

<file path=customXml/itemProps3.xml><?xml version="1.0" encoding="utf-8"?>
<ds:datastoreItem xmlns:ds="http://schemas.openxmlformats.org/officeDocument/2006/customXml" ds:itemID="{F4540EC3-413F-43CB-B977-AD8FA76CBD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D1B7EF-39EC-465F-81F0-644B9F3ED8DB}">
  <ds:schemaRefs>
    <ds:schemaRef ds:uri="http://schemas.microsoft.com/office/2006/metadata/properties"/>
    <ds:schemaRef ds:uri="http://schemas.microsoft.com/office/infopath/2007/PartnerControls"/>
    <ds:schemaRef ds:uri="39B09A0F-4892-4B7F-976B-0BD8F6B2B556"/>
    <ds:schemaRef ds:uri="39b09a0f-4892-4b7f-976b-0bd8f6b2b556"/>
    <ds:schemaRef ds:uri="1e8d55f3-3533-4249-a746-9ae4243ab91e"/>
  </ds:schemaRefs>
</ds:datastoreItem>
</file>

<file path=customXml/itemProps5.xml><?xml version="1.0" encoding="utf-8"?>
<ds:datastoreItem xmlns:ds="http://schemas.openxmlformats.org/officeDocument/2006/customXml" ds:itemID="{FCD01A0E-9B0E-4573-8292-9E4749DB5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B09A0F-4892-4B7F-976B-0BD8F6B2B556"/>
    <ds:schemaRef ds:uri="1e8d55f3-3533-4249-a746-9ae4243ab91e"/>
    <ds:schemaRef ds:uri="39b09a0f-4892-4b7f-976b-0bd8f6b2b5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Fiera Milano Spa word</vt:lpstr>
    </vt:vector>
  </TitlesOfParts>
  <Company/>
  <LinksUpToDate>false</LinksUpToDate>
  <CharactersWithSpaces>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Fiera Milano Spa word</dc:title>
  <dc:creator>Paolo Marchetti</dc:creator>
  <cp:lastModifiedBy>Scoppio Mariagrazia</cp:lastModifiedBy>
  <cp:revision>9</cp:revision>
  <cp:lastPrinted>2022-06-08T10:24:00Z</cp:lastPrinted>
  <dcterms:created xsi:type="dcterms:W3CDTF">2023-11-06T06:04:00Z</dcterms:created>
  <dcterms:modified xsi:type="dcterms:W3CDTF">2023-11-07T11:47:00Z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0x010100DE74DC8BF3789845B2B546921AB1D586</vt:lpwstr>
  </property>
  <property fmtid="{D5CDD505-2E9C-101B-9397-08002B2CF9AE}" pid="3" name="_dlc_DocIdItemGuid">
    <vt:lpwstr>740be38a-cff0-4ff2-a79e-c091aa772718</vt:lpwstr>
  </property>
  <property fmtid="{D5CDD505-2E9C-101B-9397-08002B2CF9AE}" pid="4" name="GrammarlyDocumentId">
    <vt:lpwstr>684996d332a9556128836c300444ebc2cacec9a9ad467a501bed5decdaca8bbd</vt:lpwstr>
  </property>
</Properties>
</file>